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9E" w:rsidRDefault="0029739E">
      <w:pPr>
        <w:pStyle w:val="Standard"/>
        <w:spacing w:after="0"/>
        <w:jc w:val="center"/>
        <w:rPr>
          <w:b/>
          <w:u w:val="single"/>
        </w:rPr>
      </w:pPr>
    </w:p>
    <w:p w:rsidR="0029739E" w:rsidRDefault="00AC5F58" w:rsidP="00BC3D60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Uchwała Nr ……/II/2015</w:t>
      </w:r>
    </w:p>
    <w:p w:rsidR="0029739E" w:rsidRDefault="00AC5F58" w:rsidP="00BC3D60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 dnia …… listopada 2015 r.</w:t>
      </w:r>
    </w:p>
    <w:p w:rsidR="0029739E" w:rsidRDefault="00AC5F58" w:rsidP="00BC3D60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Walnego Zebrania Członków Stowarzyszenia</w:t>
      </w:r>
    </w:p>
    <w:p w:rsidR="0029739E" w:rsidRDefault="00AC5F58" w:rsidP="00BC3D60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Lokalna Grupa Rybacka „Pojezierze Suwalsko-Augustowskie”</w:t>
      </w:r>
    </w:p>
    <w:p w:rsidR="0029739E" w:rsidRDefault="0029739E" w:rsidP="00BC3D60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29739E" w:rsidRDefault="00AC5F58" w:rsidP="00BC3D60">
      <w:pPr>
        <w:pStyle w:val="Standard"/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 sprawie wprowadzenia zmian do Statutu Stowarzyszenia Lokalna Grupa Rybacka „Pojezierze Suwalsko-Augustowskie”</w:t>
      </w:r>
    </w:p>
    <w:p w:rsidR="0029739E" w:rsidRPr="00D2239D" w:rsidRDefault="00AC5F58" w:rsidP="00BC3D60">
      <w:pPr>
        <w:pStyle w:val="Standard"/>
        <w:spacing w:line="240" w:lineRule="auto"/>
        <w:jc w:val="both"/>
      </w:pPr>
      <w:r>
        <w:rPr>
          <w:rFonts w:ascii="Arial Unicode MS" w:eastAsia="Arial Unicode MS" w:hAnsi="Arial Unicode MS" w:cs="Arial Unicode MS"/>
        </w:rPr>
        <w:t>Działając na podstawie § 25 ust. 1.  pkt 1</w:t>
      </w:r>
      <w:r w:rsidRPr="00D2239D">
        <w:rPr>
          <w:rFonts w:ascii="Arial Unicode MS" w:eastAsia="Arial Unicode MS" w:hAnsi="Arial Unicode MS" w:cs="Arial Unicode MS"/>
        </w:rPr>
        <w:t>)  oraz § 38 ust. 1 Statutu Stowarzyszenia, postanawia się co następuje:</w:t>
      </w:r>
    </w:p>
    <w:p w:rsidR="0029739E" w:rsidRPr="00D2239D" w:rsidRDefault="00AC5F58" w:rsidP="00BC3D60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2239D">
        <w:rPr>
          <w:rFonts w:ascii="Arial Unicode MS" w:eastAsia="Arial Unicode MS" w:hAnsi="Arial Unicode MS" w:cs="Arial Unicode MS"/>
          <w:b/>
        </w:rPr>
        <w:t>§ 1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>W treści Statutu Stowarzyszenia Lokalna Grupa Rybacka „Pojezierze Suwalsko-Augustowskie” wprowadza się następujące zmiany 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1.       § 1 ust. 1. 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otrzymuje brzmienie:</w:t>
      </w:r>
    </w:p>
    <w:p w:rsidR="0029739E" w:rsidRPr="00D2239D" w:rsidRDefault="00AC5F58" w:rsidP="00BC3D60">
      <w:pPr>
        <w:pStyle w:val="Standard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1. Stowarzyszenie Lokalna Grupa Rybacka „Pojezierze Suwalsko - Augustowskie”</w:t>
      </w:r>
    </w:p>
    <w:p w:rsidR="0029739E" w:rsidRPr="00D2239D" w:rsidRDefault="00AC5F58" w:rsidP="00BC3D60">
      <w:pPr>
        <w:pStyle w:val="Standard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 (zwane dalej „Stowarzyszeniem”) działa na podstawie:</w:t>
      </w:r>
    </w:p>
    <w:p w:rsidR="0029739E" w:rsidRPr="00D2239D" w:rsidRDefault="00AC5F58" w:rsidP="00BC3D60">
      <w:pPr>
        <w:pStyle w:val="Standard"/>
        <w:spacing w:line="240" w:lineRule="auto"/>
        <w:ind w:left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a)</w:t>
      </w:r>
      <w:r w:rsidRPr="00D2239D">
        <w:rPr>
          <w:rFonts w:ascii="Arial Unicode MS" w:eastAsia="Arial Unicode MS" w:hAnsi="Arial Unicode MS" w:cs="Arial Unicode MS"/>
        </w:rPr>
        <w:tab/>
        <w:t xml:space="preserve">ustawy z 7 kwietnia 1989 r. Prawo o stowarzyszeniach (Dz. U. z 2001 r. Nr 79, poz.  </w:t>
      </w:r>
    </w:p>
    <w:p w:rsidR="0029739E" w:rsidRPr="00D2239D" w:rsidRDefault="00AC5F58" w:rsidP="00BC3D60">
      <w:pPr>
        <w:pStyle w:val="Standard"/>
        <w:spacing w:line="240" w:lineRule="auto"/>
        <w:ind w:left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 855, z  </w:t>
      </w:r>
      <w:proofErr w:type="spellStart"/>
      <w:r w:rsidRPr="00D2239D">
        <w:rPr>
          <w:rFonts w:ascii="Arial Unicode MS" w:eastAsia="Arial Unicode MS" w:hAnsi="Arial Unicode MS" w:cs="Arial Unicode MS"/>
        </w:rPr>
        <w:t>późn</w:t>
      </w:r>
      <w:proofErr w:type="spellEnd"/>
      <w:r w:rsidRPr="00D2239D">
        <w:rPr>
          <w:rFonts w:ascii="Arial Unicode MS" w:eastAsia="Arial Unicode MS" w:hAnsi="Arial Unicode MS" w:cs="Arial Unicode MS"/>
        </w:rPr>
        <w:t>. zm.),</w:t>
      </w:r>
    </w:p>
    <w:p w:rsidR="0029739E" w:rsidRPr="00D2239D" w:rsidRDefault="00AC5F58" w:rsidP="00BC3D60">
      <w:pPr>
        <w:pStyle w:val="Standard"/>
        <w:spacing w:line="240" w:lineRule="auto"/>
        <w:ind w:left="1418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b)</w:t>
      </w:r>
      <w:r w:rsidRPr="00D2239D">
        <w:rPr>
          <w:rFonts w:ascii="Arial Unicode MS" w:eastAsia="Arial Unicode MS" w:hAnsi="Arial Unicode MS" w:cs="Arial Unicode MS"/>
        </w:rPr>
        <w:tab/>
        <w:t xml:space="preserve"> Rozporządzeni</w:t>
      </w:r>
      <w:r w:rsidR="00A248CB">
        <w:rPr>
          <w:rFonts w:ascii="Arial Unicode MS" w:eastAsia="Arial Unicode MS" w:hAnsi="Arial Unicode MS" w:cs="Arial Unicode MS"/>
        </w:rPr>
        <w:t>a</w:t>
      </w:r>
      <w:r w:rsidRPr="00D2239D">
        <w:rPr>
          <w:rFonts w:ascii="Arial Unicode MS" w:eastAsia="Arial Unicode MS" w:hAnsi="Arial Unicode MS" w:cs="Arial Unicode MS"/>
        </w:rPr>
        <w:t xml:space="preserve">  Parlamentu Europejskiego i Rady (UE) NR 1303/2013 z dnia 17 grudnia 2013 r. ustanawiające</w:t>
      </w:r>
      <w:r w:rsidR="00A248CB">
        <w:rPr>
          <w:rFonts w:ascii="Arial Unicode MS" w:eastAsia="Arial Unicode MS" w:hAnsi="Arial Unicode MS" w:cs="Arial Unicode MS"/>
        </w:rPr>
        <w:t>go</w:t>
      </w:r>
      <w:r w:rsidRPr="00D2239D">
        <w:rPr>
          <w:rFonts w:ascii="Arial Unicode MS" w:eastAsia="Arial Unicode MS" w:hAnsi="Arial Unicode MS" w:cs="Arial Unicode MS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A248CB">
        <w:rPr>
          <w:rFonts w:ascii="Arial Unicode MS" w:eastAsia="Arial Unicode MS" w:hAnsi="Arial Unicode MS" w:cs="Arial Unicode MS"/>
        </w:rPr>
        <w:t>go</w:t>
      </w:r>
      <w:r w:rsidRPr="00D2239D">
        <w:rPr>
          <w:rFonts w:ascii="Arial Unicode MS" w:eastAsia="Arial Unicode MS" w:hAnsi="Arial Unicode MS" w:cs="Arial Unicode MS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A248CB">
        <w:rPr>
          <w:rFonts w:ascii="Arial Unicode MS" w:eastAsia="Arial Unicode MS" w:hAnsi="Arial Unicode MS" w:cs="Arial Unicode MS"/>
        </w:rPr>
        <w:t>go</w:t>
      </w:r>
      <w:r w:rsidRPr="00D2239D">
        <w:rPr>
          <w:rFonts w:ascii="Arial Unicode MS" w:eastAsia="Arial Unicode MS" w:hAnsi="Arial Unicode MS" w:cs="Arial Unicode MS"/>
        </w:rPr>
        <w:t xml:space="preserve"> rozporządzenie Rady (WE) nr 1083/2006</w:t>
      </w:r>
    </w:p>
    <w:p w:rsidR="00BC3D60" w:rsidRDefault="00BC3D60" w:rsidP="00BC3D60">
      <w:pPr>
        <w:pStyle w:val="Standard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="00AC5F58" w:rsidRPr="00D2239D">
        <w:rPr>
          <w:rFonts w:ascii="Arial Unicode MS" w:eastAsia="Arial Unicode MS" w:hAnsi="Arial Unicode MS" w:cs="Arial Unicode MS"/>
        </w:rPr>
        <w:t xml:space="preserve">c) </w:t>
      </w:r>
      <w:r>
        <w:rPr>
          <w:rFonts w:ascii="Arial Unicode MS" w:eastAsia="Arial Unicode MS" w:hAnsi="Arial Unicode MS" w:cs="Arial Unicode MS"/>
        </w:rPr>
        <w:t xml:space="preserve"> </w:t>
      </w:r>
      <w:r w:rsidR="00AC5F58" w:rsidRPr="00D2239D">
        <w:rPr>
          <w:rFonts w:ascii="Arial Unicode MS" w:eastAsia="Arial Unicode MS" w:hAnsi="Arial Unicode MS" w:cs="Arial Unicode MS"/>
        </w:rPr>
        <w:t xml:space="preserve">ustawy z dnia 20 lutego 2015 r. o rozwoju lokalnym z udziałem lokalnej  </w:t>
      </w:r>
    </w:p>
    <w:p w:rsidR="0029739E" w:rsidRPr="00D2239D" w:rsidRDefault="00AC5F58" w:rsidP="00BC3D60">
      <w:pPr>
        <w:pStyle w:val="Standard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 społeczności (Dz.U 2015 r. poz. 378 z </w:t>
      </w:r>
      <w:proofErr w:type="spellStart"/>
      <w:r w:rsidRPr="00D2239D">
        <w:rPr>
          <w:rFonts w:ascii="Arial Unicode MS" w:eastAsia="Arial Unicode MS" w:hAnsi="Arial Unicode MS" w:cs="Arial Unicode MS"/>
        </w:rPr>
        <w:t>późn</w:t>
      </w:r>
      <w:proofErr w:type="spellEnd"/>
      <w:r w:rsidRPr="00D2239D">
        <w:rPr>
          <w:rFonts w:ascii="Arial Unicode MS" w:eastAsia="Arial Unicode MS" w:hAnsi="Arial Unicode MS" w:cs="Arial Unicode MS"/>
        </w:rPr>
        <w:t>. zm.)</w:t>
      </w:r>
    </w:p>
    <w:p w:rsidR="0029739E" w:rsidRPr="00D2239D" w:rsidRDefault="00AC5F58" w:rsidP="00BC3D60">
      <w:pPr>
        <w:pStyle w:val="Standard"/>
        <w:spacing w:line="240" w:lineRule="auto"/>
        <w:ind w:left="1418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d )</w:t>
      </w:r>
      <w:r w:rsidRPr="00D2239D">
        <w:rPr>
          <w:rFonts w:ascii="Arial Unicode MS" w:eastAsia="Arial Unicode MS" w:hAnsi="Arial Unicode MS" w:cs="Arial Unicode MS"/>
        </w:rPr>
        <w:tab/>
        <w:t>rozporządzenia Parlamentu Europejskiego i Rady (UE) nr 508/2014 z dnia 15 maja 2014 r. w sprawie Europejskiego Funduszu Morskiego i Rybackiego oraz uchylające</w:t>
      </w:r>
      <w:r w:rsidR="00A248CB">
        <w:rPr>
          <w:rFonts w:ascii="Arial Unicode MS" w:eastAsia="Arial Unicode MS" w:hAnsi="Arial Unicode MS" w:cs="Arial Unicode MS"/>
        </w:rPr>
        <w:t>go</w:t>
      </w:r>
      <w:r w:rsidRPr="00D2239D">
        <w:rPr>
          <w:rFonts w:ascii="Arial Unicode MS" w:eastAsia="Arial Unicode MS" w:hAnsi="Arial Unicode MS" w:cs="Arial Unicode MS"/>
        </w:rPr>
        <w:t xml:space="preserve"> rozporządzenia Rady (WE) nr 2328/2003, (WE) nr 861/2006, (WE) nr </w:t>
      </w:r>
      <w:r w:rsidRPr="00D2239D">
        <w:rPr>
          <w:rFonts w:ascii="Arial Unicode MS" w:eastAsia="Arial Unicode MS" w:hAnsi="Arial Unicode MS" w:cs="Arial Unicode MS"/>
        </w:rPr>
        <w:lastRenderedPageBreak/>
        <w:t>1198/2006 i (WE)  nr 791/2007 oraz rozporządzenie Parlamentu Europejskiego  i Rady (UE) nr 1255/2011 (Dz. Urz. UE L 149 z 20.05.2014, str. 1) , oraz</w:t>
      </w:r>
    </w:p>
    <w:p w:rsidR="0029739E" w:rsidRPr="00D2239D" w:rsidRDefault="00AC5F58" w:rsidP="00BC3D60">
      <w:pPr>
        <w:pStyle w:val="Standard"/>
        <w:spacing w:line="240" w:lineRule="auto"/>
        <w:ind w:left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e)</w:t>
      </w:r>
      <w:r w:rsidRPr="00D2239D">
        <w:rPr>
          <w:rFonts w:ascii="Arial Unicode MS" w:eastAsia="Arial Unicode MS" w:hAnsi="Arial Unicode MS" w:cs="Arial Unicode MS"/>
        </w:rPr>
        <w:tab/>
        <w:t>niniejszego statutu.</w:t>
      </w:r>
    </w:p>
    <w:p w:rsidR="0029739E" w:rsidRPr="00D2239D" w:rsidRDefault="00AC5F58" w:rsidP="00BC3D60">
      <w:pPr>
        <w:pStyle w:val="Standard"/>
        <w:spacing w:line="240" w:lineRule="auto"/>
        <w:ind w:left="709" w:hanging="709"/>
        <w:jc w:val="both"/>
        <w:rPr>
          <w:rFonts w:ascii="Arial Unicode MS" w:eastAsia="Arial Unicode MS" w:hAnsi="Arial Unicode MS" w:cs="Arial Unicode MS"/>
          <w:b/>
        </w:rPr>
      </w:pPr>
      <w:r w:rsidRPr="00D2239D">
        <w:rPr>
          <w:rFonts w:ascii="Arial Unicode MS" w:eastAsia="Arial Unicode MS" w:hAnsi="Arial Unicode MS" w:cs="Arial Unicode MS"/>
          <w:b/>
        </w:rPr>
        <w:t>2.        § 10  otrzymuje brzmienie:</w:t>
      </w:r>
    </w:p>
    <w:p w:rsidR="0029739E" w:rsidRPr="00D2239D" w:rsidRDefault="00AC5F58" w:rsidP="00BC3D60">
      <w:pPr>
        <w:pStyle w:val="Standard"/>
        <w:spacing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 Nadzór nad działalnością Stowarzyszenia sprawuje Marszałek Województwa Podlaskiego.</w:t>
      </w:r>
    </w:p>
    <w:p w:rsidR="0029739E" w:rsidRPr="00D2239D" w:rsidRDefault="00AC5F58" w:rsidP="00BC3D60">
      <w:pPr>
        <w:pStyle w:val="Standard"/>
        <w:spacing w:line="240" w:lineRule="auto"/>
        <w:ind w:left="709" w:hanging="709"/>
        <w:jc w:val="both"/>
      </w:pPr>
      <w:r w:rsidRPr="00D2239D">
        <w:rPr>
          <w:rFonts w:ascii="Arial Unicode MS" w:eastAsia="Arial Unicode MS" w:hAnsi="Arial Unicode MS" w:cs="Arial Unicode MS"/>
          <w:b/>
        </w:rPr>
        <w:t>3.    1) Część wstępna § 11 otrzymuje brzmienie :</w:t>
      </w:r>
    </w:p>
    <w:p w:rsidR="0029739E" w:rsidRPr="00D2239D" w:rsidRDefault="00AC5F58" w:rsidP="00BC3D60">
      <w:pPr>
        <w:pStyle w:val="Standard"/>
        <w:spacing w:after="0" w:line="240" w:lineRule="auto"/>
        <w:ind w:left="709" w:hanging="709"/>
        <w:jc w:val="both"/>
      </w:pPr>
      <w:r w:rsidRPr="00D2239D">
        <w:rPr>
          <w:rFonts w:ascii="Arial Unicode MS" w:eastAsia="Arial Unicode MS" w:hAnsi="Arial Unicode MS" w:cs="Arial Unicode MS"/>
          <w:b/>
        </w:rPr>
        <w:tab/>
      </w:r>
      <w:r w:rsidRPr="00D2239D">
        <w:rPr>
          <w:rFonts w:ascii="Arial Unicode MS" w:eastAsia="Arial Unicode MS" w:hAnsi="Arial Unicode MS" w:cs="Arial Unicode MS"/>
        </w:rPr>
        <w:t>"Celem działania Stowarzyszenia jest wspieranie wszechstronnego i zrównoważonego rozwoju społecznego , kulturalnego i gospodarczego następujących obszarów zależnych od rybactwa:</w:t>
      </w:r>
    </w:p>
    <w:p w:rsidR="0029739E" w:rsidRPr="00D2239D" w:rsidRDefault="00AC5F58" w:rsidP="00BC3D60">
      <w:pPr>
        <w:pStyle w:val="Standard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ab/>
        <w:t>a) w powiecie suwalskim: gmina Filipów, gmina Przerośl, gmina Raczki, gmina Suwałki, gmina Szypliszki, gmina Wiżajny, gmina Rutka-Tartak, gmina Bakałarzewo;</w:t>
      </w:r>
    </w:p>
    <w:p w:rsidR="0029739E" w:rsidRPr="00D2239D" w:rsidRDefault="00AC5F58" w:rsidP="00BC3D60">
      <w:pPr>
        <w:pStyle w:val="Standard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ab/>
        <w:t>b) w powiecie sejneńskim: miasto Sejny, gmina Giby, gmina Krasnopol, gmina Puńsk, gmina Sejny;</w:t>
      </w:r>
    </w:p>
    <w:p w:rsidR="0029739E" w:rsidRPr="00D2239D" w:rsidRDefault="00AC5F58" w:rsidP="00BC3D60">
      <w:pPr>
        <w:pStyle w:val="Standard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ab/>
        <w:t>c) w powiecie augustowskim: miasto Augustów, gmina Augustów, gmina Bargłów Kościelny, gmina Nowinka, gmina Płaska;</w:t>
      </w:r>
    </w:p>
    <w:p w:rsidR="0029739E" w:rsidRPr="00D2239D" w:rsidRDefault="00AC5F58" w:rsidP="00BC3D60">
      <w:pPr>
        <w:pStyle w:val="Standard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ab/>
        <w:t>d) w powiecie grajewskim: gmina Rajgród;</w:t>
      </w:r>
    </w:p>
    <w:p w:rsidR="0029739E" w:rsidRPr="00D2239D" w:rsidRDefault="00AC5F58" w:rsidP="00BC3D60">
      <w:pPr>
        <w:pStyle w:val="Standard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  a w szczególności;"</w:t>
      </w:r>
    </w:p>
    <w:p w:rsidR="0029739E" w:rsidRPr="00D2239D" w:rsidRDefault="00AC5F58" w:rsidP="00BC3D60">
      <w:pPr>
        <w:pStyle w:val="Standard"/>
        <w:spacing w:line="240" w:lineRule="auto"/>
        <w:ind w:left="709" w:hanging="709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        2)  § 11 pkt 12)  otrzymuje brzmienie :</w:t>
      </w:r>
      <w:r w:rsidRPr="00D2239D">
        <w:rPr>
          <w:rFonts w:ascii="Arial Unicode MS" w:eastAsia="Arial Unicode MS" w:hAnsi="Arial Unicode MS" w:cs="Arial Unicode MS"/>
        </w:rPr>
        <w:t xml:space="preserve">                  </w:t>
      </w:r>
    </w:p>
    <w:p w:rsidR="0029739E" w:rsidRPr="00D2239D" w:rsidRDefault="00AC5F58" w:rsidP="00BC3D60">
      <w:pPr>
        <w:pStyle w:val="Standard"/>
        <w:spacing w:line="24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  opracowanie i wdrażanie Strategii Rozwoju Lokalnego Kierowanego przez Społeczność, zwanej dalej LSR,</w:t>
      </w:r>
    </w:p>
    <w:p w:rsidR="0029739E" w:rsidRPr="00D2239D" w:rsidRDefault="00AC5F58" w:rsidP="00BC3D60">
      <w:pPr>
        <w:pStyle w:val="Standard"/>
        <w:spacing w:line="240" w:lineRule="auto"/>
        <w:jc w:val="both"/>
      </w:pP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4.    W § 12:</w:t>
      </w:r>
    </w:p>
    <w:p w:rsidR="0029739E" w:rsidRPr="00D2239D" w:rsidRDefault="00AC5F58" w:rsidP="00BC3D60">
      <w:pPr>
        <w:pStyle w:val="Standard"/>
        <w:spacing w:line="240" w:lineRule="auto"/>
        <w:ind w:left="709" w:hanging="709"/>
        <w:jc w:val="both"/>
      </w:pPr>
      <w:r w:rsidRPr="00D2239D">
        <w:rPr>
          <w:rFonts w:ascii="Arial Unicode MS" w:eastAsia="Arial Unicode MS" w:hAnsi="Arial Unicode MS" w:cs="Arial Unicode MS"/>
        </w:rPr>
        <w:t xml:space="preserve">        </w:t>
      </w:r>
      <w:r w:rsidRPr="00D2239D">
        <w:rPr>
          <w:rFonts w:ascii="Arial Unicode MS" w:eastAsia="Arial Unicode MS" w:hAnsi="Arial Unicode MS" w:cs="Arial Unicode MS"/>
          <w:b/>
        </w:rPr>
        <w:t>1)</w:t>
      </w:r>
      <w:r w:rsidRPr="00D2239D">
        <w:rPr>
          <w:rFonts w:ascii="Arial Unicode MS" w:eastAsia="Arial Unicode MS" w:hAnsi="Arial Unicode MS" w:cs="Arial Unicode MS"/>
        </w:rPr>
        <w:t xml:space="preserve">  </w:t>
      </w:r>
      <w:r w:rsidRPr="00D2239D">
        <w:rPr>
          <w:rFonts w:ascii="Arial Unicode MS" w:eastAsia="Arial Unicode MS" w:hAnsi="Arial Unicode MS" w:cs="Arial Unicode MS"/>
          <w:b/>
        </w:rPr>
        <w:t>pkt. 2. otrzymuje brzmienie :</w:t>
      </w:r>
      <w:r w:rsidRPr="00D2239D">
        <w:rPr>
          <w:rFonts w:ascii="Arial Unicode MS" w:eastAsia="Arial Unicode MS" w:hAnsi="Arial Unicode MS" w:cs="Arial Unicode MS"/>
        </w:rPr>
        <w:t xml:space="preserve">                 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</w:t>
      </w:r>
      <w:r w:rsidR="00A248CB">
        <w:rPr>
          <w:rFonts w:ascii="Arial Unicode MS" w:eastAsia="Arial Unicode MS" w:hAnsi="Arial Unicode MS" w:cs="Arial Unicode MS"/>
        </w:rPr>
        <w:t xml:space="preserve">prowadzenie </w:t>
      </w:r>
      <w:r w:rsidRPr="00D2239D">
        <w:rPr>
          <w:rFonts w:ascii="Arial Unicode MS" w:eastAsia="Arial Unicode MS" w:hAnsi="Arial Unicode MS" w:cs="Arial Unicode MS"/>
        </w:rPr>
        <w:t xml:space="preserve">bezpłatnego doradztwa w zakresie przygotowywania projektów związanych z realizacją LSR  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</w:rPr>
        <w:t xml:space="preserve">         </w:t>
      </w:r>
      <w:r w:rsidRPr="00D2239D">
        <w:rPr>
          <w:rFonts w:ascii="Arial Unicode MS" w:eastAsia="Arial Unicode MS" w:hAnsi="Arial Unicode MS" w:cs="Arial Unicode MS"/>
          <w:b/>
        </w:rPr>
        <w:t>2)</w:t>
      </w:r>
      <w:r w:rsidRPr="00D2239D">
        <w:rPr>
          <w:rFonts w:ascii="Arial Unicode MS" w:eastAsia="Arial Unicode MS" w:hAnsi="Arial Unicode MS" w:cs="Arial Unicode MS"/>
        </w:rPr>
        <w:t xml:space="preserve">  </w:t>
      </w:r>
      <w:r w:rsidRPr="00D2239D">
        <w:rPr>
          <w:rFonts w:ascii="Arial Unicode MS" w:eastAsia="Arial Unicode MS" w:hAnsi="Arial Unicode MS" w:cs="Arial Unicode MS"/>
          <w:b/>
        </w:rPr>
        <w:t>pkt. 4. otrzymuje brzmienie :</w:t>
      </w:r>
      <w:r w:rsidRPr="00D2239D">
        <w:rPr>
          <w:rFonts w:ascii="Arial Unicode MS" w:eastAsia="Arial Unicode MS" w:hAnsi="Arial Unicode MS" w:cs="Arial Unicode MS"/>
        </w:rPr>
        <w:t xml:space="preserve">                  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</w:t>
      </w:r>
      <w:r w:rsidR="00A248CB">
        <w:rPr>
          <w:rFonts w:ascii="Arial Unicode MS" w:eastAsia="Arial Unicode MS" w:hAnsi="Arial Unicode MS" w:cs="Arial Unicode MS"/>
        </w:rPr>
        <w:t>prowadzenie</w:t>
      </w:r>
      <w:r w:rsidRPr="00D2239D">
        <w:rPr>
          <w:rFonts w:ascii="Arial Unicode MS" w:eastAsia="Arial Unicode MS" w:hAnsi="Arial Unicode MS" w:cs="Arial Unicode MS"/>
        </w:rPr>
        <w:t xml:space="preserve"> innych działań przewidzianych dla Lokalnej Grupy Rybackiej określonych  w prawie polskim, przepisach Program</w:t>
      </w:r>
      <w:r w:rsidR="00A248CB">
        <w:rPr>
          <w:rFonts w:ascii="Arial Unicode MS" w:eastAsia="Arial Unicode MS" w:hAnsi="Arial Unicode MS" w:cs="Arial Unicode MS"/>
        </w:rPr>
        <w:t>u</w:t>
      </w:r>
      <w:r w:rsidRPr="00D2239D">
        <w:rPr>
          <w:rFonts w:ascii="Arial Unicode MS" w:eastAsia="Arial Unicode MS" w:hAnsi="Arial Unicode MS" w:cs="Arial Unicode MS"/>
        </w:rPr>
        <w:t xml:space="preserve"> Operacyjnego „Rybactwo i Morze” i prawie Unii Europejskiej.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      3) pkt. 6.</w:t>
      </w:r>
      <w:r w:rsidRPr="00D2239D">
        <w:rPr>
          <w:rFonts w:ascii="Arial Unicode MS" w:eastAsia="Arial Unicode MS" w:hAnsi="Arial Unicode MS" w:cs="Arial Unicode MS"/>
        </w:rPr>
        <w:t xml:space="preserve">  </w:t>
      </w:r>
      <w:r w:rsidRPr="00D2239D">
        <w:rPr>
          <w:rFonts w:ascii="Arial Unicode MS" w:eastAsia="Arial Unicode MS" w:hAnsi="Arial Unicode MS" w:cs="Arial Unicode MS"/>
          <w:b/>
        </w:rPr>
        <w:t>otrzymuje brzmienie :</w:t>
      </w:r>
      <w:r w:rsidRPr="00D2239D">
        <w:rPr>
          <w:rFonts w:ascii="Arial Unicode MS" w:eastAsia="Arial Unicode MS" w:hAnsi="Arial Unicode MS" w:cs="Arial Unicode MS"/>
        </w:rPr>
        <w:t xml:space="preserve">                  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lastRenderedPageBreak/>
        <w:t xml:space="preserve">          szeroko rozumian</w:t>
      </w:r>
      <w:r w:rsidR="00A248CB">
        <w:rPr>
          <w:rFonts w:ascii="Arial Unicode MS" w:eastAsia="Arial Unicode MS" w:hAnsi="Arial Unicode MS" w:cs="Arial Unicode MS"/>
        </w:rPr>
        <w:t>ą</w:t>
      </w:r>
      <w:r w:rsidRPr="00D2239D">
        <w:rPr>
          <w:rFonts w:ascii="Arial Unicode MS" w:eastAsia="Arial Unicode MS" w:hAnsi="Arial Unicode MS" w:cs="Arial Unicode MS"/>
        </w:rPr>
        <w:t xml:space="preserve"> działalnoś</w:t>
      </w:r>
      <w:r w:rsidR="00A248CB">
        <w:rPr>
          <w:rFonts w:ascii="Arial Unicode MS" w:eastAsia="Arial Unicode MS" w:hAnsi="Arial Unicode MS" w:cs="Arial Unicode MS"/>
        </w:rPr>
        <w:t>ć</w:t>
      </w:r>
      <w:r w:rsidRPr="00D2239D">
        <w:rPr>
          <w:rFonts w:ascii="Arial Unicode MS" w:eastAsia="Arial Unicode MS" w:hAnsi="Arial Unicode MS" w:cs="Arial Unicode MS"/>
        </w:rPr>
        <w:t xml:space="preserve"> kulturaln</w:t>
      </w:r>
      <w:r w:rsidR="00A248CB">
        <w:rPr>
          <w:rFonts w:ascii="Arial Unicode MS" w:eastAsia="Arial Unicode MS" w:hAnsi="Arial Unicode MS" w:cs="Arial Unicode MS"/>
        </w:rPr>
        <w:t>ą</w:t>
      </w:r>
      <w:r w:rsidRPr="00D2239D">
        <w:rPr>
          <w:rFonts w:ascii="Arial Unicode MS" w:eastAsia="Arial Unicode MS" w:hAnsi="Arial Unicode MS" w:cs="Arial Unicode MS"/>
        </w:rPr>
        <w:t>, w tym działa</w:t>
      </w:r>
      <w:r w:rsidR="00A248CB">
        <w:rPr>
          <w:rFonts w:ascii="Arial Unicode MS" w:eastAsia="Arial Unicode MS" w:hAnsi="Arial Unicode MS" w:cs="Arial Unicode MS"/>
        </w:rPr>
        <w:t>nia</w:t>
      </w:r>
      <w:r w:rsidRPr="00D2239D">
        <w:rPr>
          <w:rFonts w:ascii="Arial Unicode MS" w:eastAsia="Arial Unicode MS" w:hAnsi="Arial Unicode MS" w:cs="Arial Unicode MS"/>
        </w:rPr>
        <w:t xml:space="preserve"> na rzecz zachowania                     i rozwoju tożsamości, tradycji, obyczajów i dóbr kultury, promowani</w:t>
      </w:r>
      <w:r w:rsidR="00A248CB">
        <w:rPr>
          <w:rFonts w:ascii="Arial Unicode MS" w:eastAsia="Arial Unicode MS" w:hAnsi="Arial Unicode MS" w:cs="Arial Unicode MS"/>
        </w:rPr>
        <w:t>e</w:t>
      </w:r>
      <w:r w:rsidRPr="00D2239D">
        <w:rPr>
          <w:rFonts w:ascii="Arial Unicode MS" w:eastAsia="Arial Unicode MS" w:hAnsi="Arial Unicode MS" w:cs="Arial Unicode MS"/>
        </w:rPr>
        <w:t xml:space="preserve"> wizerunku obszaru objętego LSR ;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       4)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pkt. 12. otrzymuje brzmienie :</w:t>
      </w:r>
      <w:r w:rsidRPr="00D2239D">
        <w:rPr>
          <w:rFonts w:ascii="Arial Unicode MS" w:eastAsia="Arial Unicode MS" w:hAnsi="Arial Unicode MS" w:cs="Arial Unicode MS"/>
        </w:rPr>
        <w:t xml:space="preserve">                  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</w:rPr>
        <w:t xml:space="preserve">         </w:t>
      </w:r>
      <w:r w:rsidRPr="00D2239D">
        <w:rPr>
          <w:rFonts w:ascii="Arial Unicode MS" w:eastAsia="Arial Unicode MS" w:hAnsi="Arial Unicode MS" w:cs="Arial Unicode MS"/>
          <w:sz w:val="24"/>
        </w:rPr>
        <w:t xml:space="preserve">wspieranie rozwoju gospodarczego obszaru objętego LSR, </w:t>
      </w:r>
      <w:r w:rsidRPr="00D2239D">
        <w:rPr>
          <w:rFonts w:ascii="Arial Unicode MS" w:eastAsia="Arial Unicode MS" w:hAnsi="Arial Unicode MS" w:cs="Arial Unicode MS"/>
          <w:strike/>
          <w:sz w:val="24"/>
        </w:rPr>
        <w:t xml:space="preserve"> 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</w:rPr>
        <w:t xml:space="preserve">         </w:t>
      </w:r>
      <w:r w:rsidRPr="00D2239D">
        <w:rPr>
          <w:rFonts w:ascii="Arial Unicode MS" w:eastAsia="Arial Unicode MS" w:hAnsi="Arial Unicode MS" w:cs="Arial Unicode MS"/>
          <w:b/>
        </w:rPr>
        <w:t>5)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pkt. 13. otrzymuje brzmienie:</w:t>
      </w:r>
    </w:p>
    <w:p w:rsidR="0029739E" w:rsidRPr="00A248CB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A248CB">
        <w:rPr>
          <w:rFonts w:ascii="Arial Unicode MS" w:eastAsia="Arial Unicode MS" w:hAnsi="Arial Unicode MS" w:cs="Arial Unicode MS"/>
        </w:rPr>
        <w:t xml:space="preserve">        </w:t>
      </w:r>
      <w:r w:rsidRPr="00A248CB">
        <w:rPr>
          <w:rFonts w:ascii="Arial Unicode MS" w:eastAsia="Arial Unicode MS" w:hAnsi="Arial Unicode MS" w:cs="Arial Unicode MS"/>
          <w:sz w:val="24"/>
        </w:rPr>
        <w:t xml:space="preserve">edukację ekologiczną mieszkańców obszaru objętego LSR, </w:t>
      </w:r>
      <w:r w:rsidRPr="00A248CB">
        <w:rPr>
          <w:rFonts w:ascii="Arial Unicode MS" w:eastAsia="Arial Unicode MS" w:hAnsi="Arial Unicode MS" w:cs="Arial Unicode MS"/>
        </w:rPr>
        <w:t xml:space="preserve">          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</w:rPr>
        <w:t xml:space="preserve">         </w:t>
      </w:r>
      <w:r w:rsidRPr="00D2239D">
        <w:rPr>
          <w:rFonts w:ascii="Arial Unicode MS" w:eastAsia="Arial Unicode MS" w:hAnsi="Arial Unicode MS" w:cs="Arial Unicode MS"/>
          <w:b/>
        </w:rPr>
        <w:t>6)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pkt. 16. otrzymuje brzmienie 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wspieranie aktywnego uczestnictwa mieszkańców obszaru objętego LSR w Unii   Europejskiej,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        7)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dodaje się pkt. od 24. do 30.  o następującym brzmieniu: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24.  rozwijanie zdolności podmiotów lokalnych do opracowywania i wdrażania operacji,                  w tym rozwijania ich zdolności zarządzania projektami;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25.  opracowanie niedyskryminującej i przejrzystej procedury wyboru oraz obiektywnych kryteriów wyboru operacji, które pozwalają uniknąć konfliktów interesów, gwarantują, że co najmniej 50 % głosów w decyzjach dotyczących wyboru pochodzi od partnerów niebędących instytucjami publicznymi i umożliwiają wybór w drodze procedury pisemnej;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26.  zapewnianie spójności ze strategią rozwoju lokalnego kierowanego przez społeczność podczas wyboru operacji poprzez uszeregowanie tych operacji w zależności od ich wkładu                  w realizację celów i strategii;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27. opracowanie i publikowanie naborów wniosków lub ciągłej procedury składania projektów, w tym określanie kryteriów wyboru;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28.   przyjmowanie i dokonywanie oceny wniosków o dofinansowanie;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29. wybór operacji i ustalanie kwoty wsparcia oraz, w stosownych przypadkach, przedkładanie wniosków do podmiotu odpowiedzialnego za ostateczną weryfikację kwalifikowalności przed ich zatwierdzeniem;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30.   monitorowanie wdrażania strategii rozwoju lokalnego kierowanego przez społeczność                i operacji będących przedmiotem wsparcia oraz przeprowadzanie szczegółowych działań ewaluacyjnych związanych z tą strategią.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lastRenderedPageBreak/>
        <w:t>5.    W § 20 w pkt 4) otrzymuje brzmienie 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„ Rada ”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>6.</w:t>
      </w:r>
      <w:r w:rsidRPr="00D2239D">
        <w:rPr>
          <w:rFonts w:ascii="Arial Unicode MS" w:eastAsia="Arial Unicode MS" w:hAnsi="Arial Unicode MS" w:cs="Arial Unicode MS"/>
        </w:rPr>
        <w:t xml:space="preserve">    </w:t>
      </w:r>
      <w:r w:rsidRPr="00D2239D">
        <w:rPr>
          <w:rFonts w:ascii="Arial Unicode MS" w:eastAsia="Arial Unicode MS" w:hAnsi="Arial Unicode MS" w:cs="Arial Unicode MS"/>
          <w:b/>
          <w:bCs/>
        </w:rPr>
        <w:t xml:space="preserve"> W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§ 21: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        1)  ust. 1   otrzymuje brzmienie 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Kadencja Zarządu, Komisji Rewizyjnej i  Rady Stowarzyszenia trwa 4 lata, a ich wybór odbywa się w głosowaniu tajnym, bezwzględną większością głosów przy obecności                        w pierwszym terminie co najmniej połowy członków Walnego Zebrania Członków, w drugim terminie, wyznaczonym w tym samym dniu 15 minut później – bez względu na liczbę obecnych członków. ”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        2)   ust. 4 otrzymuje brzmienie: </w:t>
      </w:r>
      <w:r w:rsidRPr="00D2239D">
        <w:rPr>
          <w:rFonts w:ascii="Arial Unicode MS" w:eastAsia="Arial Unicode MS" w:hAnsi="Arial Unicode MS" w:cs="Arial Unicode MS"/>
        </w:rPr>
        <w:t xml:space="preserve"> 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Uchwały Rady podejmowane są w głosowaniu jawnym, zwykłą większością głosów przy obecności co najmniej połowy ogólnej liczby uprawnionych członków (kworum).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>7.     W § 25 ust. 1: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</w:rPr>
        <w:t xml:space="preserve">        </w:t>
      </w:r>
      <w:r w:rsidRPr="00D2239D">
        <w:rPr>
          <w:rFonts w:ascii="Arial Unicode MS" w:eastAsia="Arial Unicode MS" w:hAnsi="Arial Unicode MS" w:cs="Arial Unicode MS"/>
          <w:b/>
        </w:rPr>
        <w:t>1) pkt 3)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otrzymuje brzmienie 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uchwalanie LSR , jej aktualizacji i zmian,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</w:rPr>
        <w:t xml:space="preserve">         </w:t>
      </w:r>
      <w:r w:rsidRPr="00D2239D">
        <w:rPr>
          <w:rFonts w:ascii="Arial Unicode MS" w:eastAsia="Arial Unicode MS" w:hAnsi="Arial Unicode MS" w:cs="Arial Unicode MS"/>
          <w:b/>
        </w:rPr>
        <w:t>2)</w:t>
      </w:r>
      <w:r w:rsidRPr="00D2239D">
        <w:rPr>
          <w:rFonts w:ascii="Arial Unicode MS" w:eastAsia="Arial Unicode MS" w:hAnsi="Arial Unicode MS" w:cs="Arial Unicode MS"/>
        </w:rPr>
        <w:t xml:space="preserve">  </w:t>
      </w:r>
      <w:r w:rsidRPr="00D2239D">
        <w:rPr>
          <w:rFonts w:ascii="Arial Unicode MS" w:eastAsia="Arial Unicode MS" w:hAnsi="Arial Unicode MS" w:cs="Arial Unicode MS"/>
          <w:b/>
        </w:rPr>
        <w:t>pkt 4)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otrzymuje brzmienie 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ocena wdrażania LSR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>8.    W § 28 ust. 1: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</w:pPr>
      <w:r w:rsidRPr="00D2239D">
        <w:rPr>
          <w:rFonts w:ascii="Arial Unicode MS" w:eastAsia="Arial Unicode MS" w:hAnsi="Arial Unicode MS" w:cs="Arial Unicode MS"/>
          <w:b/>
        </w:rPr>
        <w:t>1)</w:t>
      </w:r>
      <w:r w:rsidRPr="00D2239D">
        <w:rPr>
          <w:rFonts w:ascii="Arial Unicode MS" w:eastAsia="Arial Unicode MS" w:hAnsi="Arial Unicode MS" w:cs="Arial Unicode MS"/>
        </w:rPr>
        <w:t xml:space="preserve">  </w:t>
      </w:r>
      <w:r w:rsidRPr="00D2239D">
        <w:rPr>
          <w:rFonts w:ascii="Arial Unicode MS" w:eastAsia="Arial Unicode MS" w:hAnsi="Arial Unicode MS" w:cs="Arial Unicode MS"/>
          <w:b/>
        </w:rPr>
        <w:t>pkt 3) otrzymuje brzmienie :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>„ nadzór nad przygotowaniem i wdrożeniem LSR,”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  <w:rPr>
          <w:rFonts w:ascii="Arial Unicode MS" w:eastAsia="Arial Unicode MS" w:hAnsi="Arial Unicode MS" w:cs="Arial Unicode MS"/>
          <w:b/>
        </w:rPr>
      </w:pPr>
      <w:r w:rsidRPr="00D2239D">
        <w:rPr>
          <w:rFonts w:ascii="Arial Unicode MS" w:eastAsia="Arial Unicode MS" w:hAnsi="Arial Unicode MS" w:cs="Arial Unicode MS"/>
          <w:b/>
        </w:rPr>
        <w:t>2) pkt 4)”  otrzymuje brzmienie :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>przygotowanie zmian i aktualizacji LSR,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3) </w:t>
      </w:r>
      <w:r w:rsidRPr="00D2239D">
        <w:rPr>
          <w:rFonts w:ascii="Arial Unicode MS" w:eastAsia="Arial Unicode MS" w:hAnsi="Arial Unicode MS" w:cs="Arial Unicode MS"/>
        </w:rPr>
        <w:t xml:space="preserve"> </w:t>
      </w:r>
      <w:r w:rsidRPr="00D2239D">
        <w:rPr>
          <w:rFonts w:ascii="Arial Unicode MS" w:eastAsia="Arial Unicode MS" w:hAnsi="Arial Unicode MS" w:cs="Arial Unicode MS"/>
          <w:b/>
        </w:rPr>
        <w:t>pkt 5) otrzymuje brzmienie :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>monitorowanie i ewaluacja wdrażania LSR,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  <w:b/>
        </w:rPr>
      </w:pPr>
      <w:r w:rsidRPr="00D2239D">
        <w:rPr>
          <w:rFonts w:ascii="Arial Unicode MS" w:eastAsia="Arial Unicode MS" w:hAnsi="Arial Unicode MS" w:cs="Arial Unicode MS"/>
          <w:b/>
        </w:rPr>
        <w:t>9.    Rozdział V 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lastRenderedPageBreak/>
        <w:t xml:space="preserve">        1)</w:t>
      </w:r>
      <w:r w:rsidRPr="00D2239D">
        <w:rPr>
          <w:rFonts w:ascii="Arial Unicode MS" w:eastAsia="Arial Unicode MS" w:hAnsi="Arial Unicode MS" w:cs="Arial Unicode MS"/>
        </w:rPr>
        <w:t xml:space="preserve">  W tytule rozdziału : dotychczasowa nazwa organu „Komitet” zostaje zastąpiona nazwą  „Rada”.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       2)   W § 32 :</w:t>
      </w:r>
    </w:p>
    <w:p w:rsidR="0029739E" w:rsidRPr="005845B2" w:rsidRDefault="00AC5F58" w:rsidP="00BC3D60">
      <w:pPr>
        <w:pStyle w:val="Standard"/>
        <w:spacing w:line="240" w:lineRule="auto"/>
        <w:ind w:left="567" w:hanging="567"/>
        <w:jc w:val="both"/>
        <w:rPr>
          <w:b/>
        </w:rPr>
      </w:pPr>
      <w:r w:rsidRPr="005845B2">
        <w:rPr>
          <w:rFonts w:ascii="Arial Unicode MS" w:eastAsia="Arial Unicode MS" w:hAnsi="Arial Unicode MS" w:cs="Arial Unicode MS"/>
          <w:b/>
        </w:rPr>
        <w:t xml:space="preserve">            a) usuwa się część wstępną.</w:t>
      </w:r>
    </w:p>
    <w:p w:rsidR="0029739E" w:rsidRPr="00D2239D" w:rsidRDefault="00AC5F58" w:rsidP="00BC3D60">
      <w:pPr>
        <w:pStyle w:val="Standard"/>
        <w:spacing w:line="240" w:lineRule="auto"/>
        <w:jc w:val="both"/>
      </w:pPr>
      <w:r w:rsidRPr="00D2239D">
        <w:rPr>
          <w:rFonts w:ascii="Arial Unicode MS" w:eastAsia="Arial Unicode MS" w:hAnsi="Arial Unicode MS" w:cs="Arial Unicode MS"/>
          <w:b/>
        </w:rPr>
        <w:tab/>
        <w:t>b)   ust. 1. otrzymuje brzmienie:</w:t>
      </w:r>
    </w:p>
    <w:p w:rsidR="0029739E" w:rsidRPr="00D2239D" w:rsidRDefault="00AC5F58" w:rsidP="00BC3D60">
      <w:pPr>
        <w:pStyle w:val="Standard"/>
        <w:spacing w:line="24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0"/>
          <w:lang w:eastAsia="pl-PL"/>
        </w:rPr>
      </w:pPr>
      <w:r w:rsidRPr="00D2239D">
        <w:rPr>
          <w:rFonts w:ascii="Arial Unicode MS" w:eastAsia="Arial Unicode MS" w:hAnsi="Arial Unicode MS" w:cs="Arial Unicode MS"/>
          <w:sz w:val="24"/>
          <w:szCs w:val="20"/>
          <w:lang w:eastAsia="pl-PL"/>
        </w:rPr>
        <w:t xml:space="preserve">W skład Rady wchodzi od 15 do 20 osób. Rada jest wybierana przez Walne Zebranie Członków spośród członków zwyczajnych Stowarzyszenia zgodnie z zasadami opisanymi w </w:t>
      </w:r>
      <w:r w:rsidR="005845B2">
        <w:rPr>
          <w:rFonts w:ascii="Arial Unicode MS" w:eastAsia="Arial Unicode MS" w:hAnsi="Arial Unicode MS" w:cs="Arial Unicode MS"/>
          <w:sz w:val="24"/>
          <w:szCs w:val="20"/>
          <w:lang w:eastAsia="pl-PL"/>
        </w:rPr>
        <w:t>ustępie 2</w:t>
      </w:r>
      <w:r w:rsidRPr="00D2239D">
        <w:rPr>
          <w:rFonts w:ascii="Arial Unicode MS" w:eastAsia="Arial Unicode MS" w:hAnsi="Arial Unicode MS" w:cs="Arial Unicode MS"/>
          <w:sz w:val="24"/>
          <w:szCs w:val="20"/>
          <w:lang w:eastAsia="pl-PL"/>
        </w:rPr>
        <w:t>.</w:t>
      </w:r>
    </w:p>
    <w:p w:rsidR="0029739E" w:rsidRPr="00D2239D" w:rsidRDefault="00AC5F58" w:rsidP="00BC3D60">
      <w:pPr>
        <w:pStyle w:val="Standard"/>
        <w:spacing w:line="240" w:lineRule="auto"/>
        <w:ind w:left="720"/>
        <w:jc w:val="both"/>
        <w:rPr>
          <w:rFonts w:ascii="Arial Unicode MS" w:eastAsia="Arial Unicode MS" w:hAnsi="Arial Unicode MS" w:cs="Arial Unicode MS"/>
          <w:b/>
          <w:bCs/>
          <w:sz w:val="24"/>
          <w:szCs w:val="20"/>
          <w:lang w:eastAsia="pl-PL"/>
        </w:rPr>
      </w:pPr>
      <w:r w:rsidRPr="00D2239D">
        <w:rPr>
          <w:rFonts w:ascii="Arial Unicode MS" w:eastAsia="Arial Unicode MS" w:hAnsi="Arial Unicode MS" w:cs="Arial Unicode MS"/>
          <w:b/>
          <w:bCs/>
          <w:sz w:val="24"/>
          <w:szCs w:val="20"/>
          <w:lang w:eastAsia="pl-PL"/>
        </w:rPr>
        <w:t>c) ust. 2. otrzymuje brzmienie:</w:t>
      </w:r>
    </w:p>
    <w:p w:rsidR="0029739E" w:rsidRPr="00D2239D" w:rsidRDefault="00AC5F58" w:rsidP="00BC3D60">
      <w:pPr>
        <w:pStyle w:val="Textbody"/>
        <w:spacing w:line="24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0"/>
          <w:lang w:eastAsia="pl-PL"/>
        </w:rPr>
      </w:pPr>
      <w:r w:rsidRPr="00D2239D">
        <w:rPr>
          <w:rFonts w:ascii="Arial Unicode MS" w:eastAsia="Arial Unicode MS" w:hAnsi="Arial Unicode MS" w:cs="Arial Unicode MS"/>
          <w:sz w:val="24"/>
          <w:szCs w:val="20"/>
          <w:lang w:eastAsia="pl-PL"/>
        </w:rPr>
        <w:t xml:space="preserve">W składzie Rady znajduje się przynajmniej po jednym przedsiębiorcy, kobiecie, osobie poniżej 35 roku życia. Sektor publiczny stanowi mniej niż 30% składu Rady. Przedstawiciele sektora rybackiego stanowią </w:t>
      </w:r>
      <w:r w:rsidR="005845B2">
        <w:rPr>
          <w:rFonts w:ascii="Arial Unicode MS" w:eastAsia="Arial Unicode MS" w:hAnsi="Arial Unicode MS" w:cs="Arial Unicode MS"/>
          <w:sz w:val="24"/>
          <w:szCs w:val="20"/>
          <w:lang w:eastAsia="pl-PL"/>
        </w:rPr>
        <w:t xml:space="preserve">nie mniej niż </w:t>
      </w:r>
      <w:r w:rsidRPr="00D2239D">
        <w:rPr>
          <w:rFonts w:ascii="Arial Unicode MS" w:eastAsia="Arial Unicode MS" w:hAnsi="Arial Unicode MS" w:cs="Arial Unicode MS"/>
          <w:sz w:val="24"/>
          <w:szCs w:val="20"/>
          <w:lang w:eastAsia="pl-PL"/>
        </w:rPr>
        <w:t xml:space="preserve">40% </w:t>
      </w:r>
      <w:r w:rsidR="005845B2">
        <w:rPr>
          <w:rFonts w:ascii="Arial Unicode MS" w:eastAsia="Arial Unicode MS" w:hAnsi="Arial Unicode MS" w:cs="Arial Unicode MS"/>
          <w:sz w:val="24"/>
          <w:szCs w:val="20"/>
          <w:lang w:eastAsia="pl-PL"/>
        </w:rPr>
        <w:t xml:space="preserve">i nie więcej niż 49% </w:t>
      </w:r>
      <w:r w:rsidRPr="00D2239D">
        <w:rPr>
          <w:rFonts w:ascii="Arial Unicode MS" w:eastAsia="Arial Unicode MS" w:hAnsi="Arial Unicode MS" w:cs="Arial Unicode MS"/>
          <w:sz w:val="24"/>
          <w:szCs w:val="20"/>
          <w:lang w:eastAsia="pl-PL"/>
        </w:rPr>
        <w:t>składu Rady.</w:t>
      </w:r>
    </w:p>
    <w:p w:rsidR="0029739E" w:rsidRPr="00D2239D" w:rsidRDefault="00AC5F58" w:rsidP="00BC3D60">
      <w:pPr>
        <w:pStyle w:val="Standard"/>
        <w:spacing w:line="240" w:lineRule="auto"/>
        <w:ind w:left="720"/>
        <w:jc w:val="both"/>
      </w:pPr>
      <w:r w:rsidRPr="00D2239D">
        <w:rPr>
          <w:rFonts w:ascii="Arial Unicode MS" w:eastAsia="Arial Unicode MS" w:hAnsi="Arial Unicode MS" w:cs="Arial Unicode MS"/>
          <w:b/>
          <w:sz w:val="24"/>
          <w:szCs w:val="20"/>
          <w:lang w:eastAsia="pl-PL"/>
        </w:rPr>
        <w:t xml:space="preserve">d) ust. 3. </w:t>
      </w:r>
      <w:r w:rsidRPr="00D2239D">
        <w:rPr>
          <w:rFonts w:ascii="Arial Unicode MS" w:eastAsia="Arial Unicode MS" w:hAnsi="Arial Unicode MS" w:cs="Arial Unicode MS"/>
          <w:b/>
        </w:rPr>
        <w:t xml:space="preserve">otrzymuje brzmienie </w:t>
      </w:r>
      <w:r w:rsidRPr="00D2239D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:</w:t>
      </w:r>
    </w:p>
    <w:p w:rsidR="0029739E" w:rsidRPr="00D2239D" w:rsidRDefault="00AC5F58" w:rsidP="00BC3D60">
      <w:pPr>
        <w:pStyle w:val="Standard"/>
        <w:spacing w:line="240" w:lineRule="auto"/>
        <w:ind w:left="720"/>
        <w:jc w:val="both"/>
      </w:pPr>
      <w:r w:rsidRPr="00D2239D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„Członkiem Rady nie może być osoba skazana prawomocnym wyrokiem za przestępstwo popełnione umyślnie. Członkowie Rady nie mogą pozostawać                      z członkami Zarządu w związku małżeńskim ani też w stosunku pokrewieństwa do drugiego stopnia, powinowactwa pierwszego stopnia lub podległości z tytułu zatrudnienia.”</w:t>
      </w:r>
    </w:p>
    <w:p w:rsidR="0029739E" w:rsidRPr="00D2239D" w:rsidRDefault="00AC5F58" w:rsidP="00BC3D60">
      <w:pPr>
        <w:pStyle w:val="Standard"/>
        <w:spacing w:line="240" w:lineRule="auto"/>
        <w:ind w:left="720"/>
        <w:jc w:val="both"/>
      </w:pPr>
      <w:r w:rsidRPr="00D2239D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e)  ust. 4. </w:t>
      </w:r>
      <w:r w:rsidRPr="00D2239D">
        <w:rPr>
          <w:rFonts w:ascii="Arial Unicode MS" w:eastAsia="Arial Unicode MS" w:hAnsi="Arial Unicode MS" w:cs="Arial Unicode MS"/>
          <w:b/>
        </w:rPr>
        <w:t xml:space="preserve">otrzymuje brzmienie </w:t>
      </w:r>
      <w:r w:rsidRPr="00D2239D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:</w:t>
      </w:r>
    </w:p>
    <w:p w:rsidR="0029739E" w:rsidRPr="00D2239D" w:rsidRDefault="00AC5F58" w:rsidP="00BC3D60">
      <w:pPr>
        <w:pStyle w:val="Standard"/>
        <w:spacing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D2239D">
        <w:rPr>
          <w:rFonts w:ascii="Arial Unicode MS" w:eastAsia="Arial Unicode MS" w:hAnsi="Arial Unicode MS" w:cs="Arial Unicode MS"/>
          <w:sz w:val="24"/>
          <w:szCs w:val="24"/>
          <w:lang w:eastAsia="pl-PL"/>
        </w:rPr>
        <w:t>Członek Rady nie może równocześnie być członkiem innego organu     Stowarzyszenia oraz być pracownikiem etatowym Stowarzyszenia.</w:t>
      </w:r>
    </w:p>
    <w:p w:rsidR="0029739E" w:rsidRPr="00D2239D" w:rsidRDefault="00AC5F58" w:rsidP="00BC3D60">
      <w:pPr>
        <w:pStyle w:val="Standard"/>
        <w:spacing w:line="240" w:lineRule="auto"/>
        <w:ind w:left="709"/>
        <w:jc w:val="both"/>
      </w:pPr>
      <w:r w:rsidRPr="00D2239D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f)  ust. 5. </w:t>
      </w:r>
      <w:r w:rsidRPr="00D2239D">
        <w:rPr>
          <w:rFonts w:ascii="Arial Unicode MS" w:eastAsia="Arial Unicode MS" w:hAnsi="Arial Unicode MS" w:cs="Arial Unicode MS"/>
          <w:b/>
        </w:rPr>
        <w:t xml:space="preserve">otrzymuje brzmienie </w:t>
      </w:r>
      <w:r w:rsidRPr="00D2239D">
        <w:rPr>
          <w:rFonts w:ascii="Arial Unicode MS" w:eastAsia="Arial Unicode MS" w:hAnsi="Arial Unicode MS" w:cs="Arial Unicode MS"/>
          <w:b/>
          <w:sz w:val="24"/>
          <w:szCs w:val="20"/>
          <w:lang w:eastAsia="pl-PL"/>
        </w:rPr>
        <w:t xml:space="preserve"> :</w:t>
      </w:r>
    </w:p>
    <w:p w:rsidR="0029739E" w:rsidRPr="00D2239D" w:rsidRDefault="00AC5F58" w:rsidP="00BC3D60">
      <w:pPr>
        <w:pStyle w:val="Standard"/>
        <w:tabs>
          <w:tab w:val="left" w:pos="1080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0"/>
          <w:lang w:eastAsia="pl-PL"/>
        </w:rPr>
      </w:pPr>
      <w:r w:rsidRPr="00D2239D">
        <w:rPr>
          <w:rFonts w:ascii="Arial Unicode MS" w:eastAsia="Arial Unicode MS" w:hAnsi="Arial Unicode MS" w:cs="Arial Unicode MS"/>
          <w:sz w:val="24"/>
          <w:szCs w:val="20"/>
          <w:lang w:eastAsia="pl-PL"/>
        </w:rPr>
        <w:t>Na pierwszym po wyborach posiedzeniu Rada wybiera ze swego grona Przewodniczącego i Wiceprzewodniczącego.</w:t>
      </w:r>
    </w:p>
    <w:p w:rsidR="0029739E" w:rsidRPr="00D2239D" w:rsidRDefault="0029739E" w:rsidP="00BC3D60">
      <w:pPr>
        <w:pStyle w:val="Standard"/>
        <w:tabs>
          <w:tab w:val="left" w:pos="1080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0"/>
          <w:lang w:eastAsia="pl-PL"/>
        </w:rPr>
      </w:pPr>
    </w:p>
    <w:p w:rsidR="0029739E" w:rsidRPr="00D2239D" w:rsidRDefault="00AC5F58" w:rsidP="00BC3D60">
      <w:pPr>
        <w:pStyle w:val="Standard"/>
        <w:tabs>
          <w:tab w:val="left" w:pos="1080"/>
        </w:tabs>
        <w:spacing w:after="0" w:line="240" w:lineRule="auto"/>
        <w:ind w:left="720"/>
      </w:pPr>
      <w:r w:rsidRPr="00D2239D">
        <w:rPr>
          <w:rFonts w:ascii="Arial Unicode MS" w:eastAsia="Arial Unicode MS" w:hAnsi="Arial Unicode MS" w:cs="Arial Unicode MS"/>
          <w:b/>
          <w:sz w:val="24"/>
          <w:szCs w:val="20"/>
          <w:lang w:eastAsia="pl-PL"/>
        </w:rPr>
        <w:t>g) pkt. 6. otrzymuje brzmienie  :</w:t>
      </w:r>
    </w:p>
    <w:p w:rsidR="0029739E" w:rsidRPr="00D2239D" w:rsidRDefault="00AC5F58" w:rsidP="00BC3D60">
      <w:pPr>
        <w:pStyle w:val="Standard"/>
        <w:tabs>
          <w:tab w:val="left" w:pos="1080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0"/>
          <w:lang w:eastAsia="pl-PL"/>
        </w:rPr>
      </w:pPr>
      <w:r w:rsidRPr="00D2239D">
        <w:rPr>
          <w:rFonts w:ascii="Arial Unicode MS" w:eastAsia="Arial Unicode MS" w:hAnsi="Arial Unicode MS" w:cs="Arial Unicode MS"/>
          <w:sz w:val="24"/>
          <w:szCs w:val="20"/>
          <w:lang w:eastAsia="pl-PL"/>
        </w:rPr>
        <w:lastRenderedPageBreak/>
        <w:t>Organizację i tryb pracy Rady określa Regulamin Rady przyjęty przez Walne Zebranie Członków.</w:t>
      </w:r>
    </w:p>
    <w:p w:rsidR="0029739E" w:rsidRPr="00D2239D" w:rsidRDefault="0029739E" w:rsidP="00BC3D60">
      <w:pPr>
        <w:pStyle w:val="Standard"/>
        <w:tabs>
          <w:tab w:val="left" w:pos="1080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0"/>
          <w:lang w:eastAsia="pl-PL"/>
        </w:rPr>
      </w:pP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10.    </w:t>
      </w:r>
      <w:r w:rsidRPr="00D2239D">
        <w:rPr>
          <w:rFonts w:ascii="Arial Unicode MS" w:eastAsia="Arial Unicode MS" w:hAnsi="Arial Unicode MS" w:cs="Arial Unicode MS"/>
          <w:b/>
          <w:bCs/>
        </w:rPr>
        <w:t xml:space="preserve">   § 33 otrzymuje brzmienie :</w:t>
      </w:r>
    </w:p>
    <w:p w:rsidR="0029739E" w:rsidRPr="007A485A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85A">
        <w:rPr>
          <w:rFonts w:ascii="Arial Unicode MS" w:eastAsia="Arial Unicode MS" w:hAnsi="Arial Unicode MS" w:cs="Arial Unicode MS"/>
          <w:sz w:val="24"/>
          <w:szCs w:val="24"/>
        </w:rPr>
        <w:t xml:space="preserve">         Do kompetencji  Rady należy:</w:t>
      </w:r>
    </w:p>
    <w:p w:rsidR="0029739E" w:rsidRPr="007A485A" w:rsidRDefault="00AC5F58" w:rsidP="00160D93">
      <w:pPr>
        <w:pStyle w:val="Standard"/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85A">
        <w:rPr>
          <w:rFonts w:ascii="Arial Unicode MS" w:eastAsia="Arial Unicode MS" w:hAnsi="Arial Unicode MS" w:cs="Arial Unicode MS"/>
          <w:sz w:val="24"/>
          <w:szCs w:val="24"/>
        </w:rPr>
        <w:t>1)</w:t>
      </w:r>
      <w:r w:rsidRPr="007A485A">
        <w:rPr>
          <w:rFonts w:ascii="Arial Unicode MS" w:eastAsia="Arial Unicode MS" w:hAnsi="Arial Unicode MS" w:cs="Arial Unicode MS"/>
          <w:sz w:val="24"/>
          <w:szCs w:val="24"/>
        </w:rPr>
        <w:tab/>
        <w:t>wybór operacji, które mają być realizowane w ramach LSR</w:t>
      </w:r>
    </w:p>
    <w:p w:rsidR="0029739E" w:rsidRPr="007A485A" w:rsidRDefault="00AC5F58" w:rsidP="00160D93">
      <w:pPr>
        <w:pStyle w:val="Standard"/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85A">
        <w:rPr>
          <w:rFonts w:ascii="Arial Unicode MS" w:eastAsia="Arial Unicode MS" w:hAnsi="Arial Unicode MS" w:cs="Arial Unicode MS"/>
          <w:sz w:val="24"/>
          <w:szCs w:val="24"/>
        </w:rPr>
        <w:t>2)</w:t>
      </w:r>
      <w:r w:rsidRPr="007A485A">
        <w:rPr>
          <w:rFonts w:ascii="Arial Unicode MS" w:eastAsia="Arial Unicode MS" w:hAnsi="Arial Unicode MS" w:cs="Arial Unicode MS"/>
          <w:sz w:val="24"/>
          <w:szCs w:val="24"/>
        </w:rPr>
        <w:tab/>
        <w:t>przygotowanie bądź opiniowanie zmian w LSR , a w szczególności</w:t>
      </w:r>
      <w:r w:rsidR="007A485A">
        <w:rPr>
          <w:rFonts w:ascii="Arial Unicode MS" w:eastAsia="Arial Unicode MS" w:hAnsi="Arial Unicode MS" w:cs="Arial Unicode MS"/>
          <w:sz w:val="24"/>
          <w:szCs w:val="24"/>
        </w:rPr>
        <w:t xml:space="preserve"> zasad</w:t>
      </w:r>
      <w:r w:rsidRPr="007A485A">
        <w:rPr>
          <w:rFonts w:ascii="Arial Unicode MS" w:eastAsia="Arial Unicode MS" w:hAnsi="Arial Unicode MS" w:cs="Arial Unicode MS"/>
          <w:sz w:val="24"/>
          <w:szCs w:val="24"/>
        </w:rPr>
        <w:t xml:space="preserve"> i kryteriów wyboru operacji.</w:t>
      </w:r>
    </w:p>
    <w:p w:rsidR="0029739E" w:rsidRPr="007A485A" w:rsidRDefault="00AC5F58" w:rsidP="00160D93">
      <w:pPr>
        <w:pStyle w:val="Standard"/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85A">
        <w:rPr>
          <w:rFonts w:ascii="Arial Unicode MS" w:eastAsia="Arial Unicode MS" w:hAnsi="Arial Unicode MS" w:cs="Arial Unicode MS"/>
          <w:sz w:val="24"/>
          <w:szCs w:val="24"/>
        </w:rPr>
        <w:t>3)</w:t>
      </w:r>
      <w:r w:rsidRPr="007A485A">
        <w:rPr>
          <w:rFonts w:ascii="Arial Unicode MS" w:eastAsia="Arial Unicode MS" w:hAnsi="Arial Unicode MS" w:cs="Arial Unicode MS"/>
          <w:sz w:val="24"/>
          <w:szCs w:val="24"/>
        </w:rPr>
        <w:tab/>
        <w:t>ustalenie kwoty wsparcia</w:t>
      </w:r>
    </w:p>
    <w:p w:rsidR="0029739E" w:rsidRPr="00D2239D" w:rsidRDefault="00AC5F58" w:rsidP="00BC3D60">
      <w:pPr>
        <w:pStyle w:val="Standard"/>
        <w:spacing w:line="240" w:lineRule="auto"/>
        <w:ind w:left="142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11.   </w:t>
      </w:r>
      <w:r w:rsidRPr="00D2239D">
        <w:rPr>
          <w:rFonts w:ascii="Arial Unicode MS" w:eastAsia="Arial Unicode MS" w:hAnsi="Arial Unicode MS" w:cs="Arial Unicode MS"/>
          <w:b/>
          <w:bCs/>
        </w:rPr>
        <w:t>§ 35 ust. 1. lit. c) otrzymuje brzmienie: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>wpływy z własnej działalności z wyłączeniem działalności gospodarczej,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>12.    W § 37:</w:t>
      </w:r>
      <w:bookmarkStart w:id="0" w:name="_GoBack"/>
      <w:bookmarkEnd w:id="0"/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        1)  ust. 4. otrzymuje brzmienie: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 „Członkowie Zarządu, Komisji Rewizyjnej i Rady muszą wykonywać swoje obowiązki    osobiście.”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</w:pPr>
      <w:r w:rsidRPr="00D2239D">
        <w:rPr>
          <w:rFonts w:ascii="Arial Unicode MS" w:eastAsia="Arial Unicode MS" w:hAnsi="Arial Unicode MS" w:cs="Arial Unicode MS"/>
          <w:b/>
        </w:rPr>
        <w:t xml:space="preserve"> 2)  ust. 5. otrzymuje brzmienie:</w:t>
      </w:r>
    </w:p>
    <w:p w:rsidR="0029739E" w:rsidRPr="00D2239D" w:rsidRDefault="00AC5F58" w:rsidP="00BC3D60">
      <w:pPr>
        <w:pStyle w:val="Standard"/>
        <w:spacing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>Członkowie Zarządu, Komisji Rewizyjnej, Rady oraz pracownicy Biura LGR   nie   mogą prowadzić odpłatnej działalności lub świadczenia pracy, polegającej na doradztwie                         w przygotowywaniu wniosków o dofinansowanie lub ubieganiu się o pomoc przyznawaną     w ramach Priorytetu „Zwiększenie zatrudnienia i spójności terytorialnej” Programu Operacyjnego „ Rybactwo i Morze 2014-2020 ”.</w:t>
      </w:r>
    </w:p>
    <w:p w:rsidR="0029739E" w:rsidRPr="00D2239D" w:rsidRDefault="00AC5F58" w:rsidP="00BC3D60">
      <w:pPr>
        <w:pStyle w:val="Standard"/>
        <w:spacing w:line="240" w:lineRule="auto"/>
        <w:ind w:left="567" w:hanging="567"/>
        <w:jc w:val="center"/>
        <w:rPr>
          <w:rFonts w:ascii="Arial Unicode MS" w:eastAsia="Arial Unicode MS" w:hAnsi="Arial Unicode MS" w:cs="Arial Unicode MS"/>
          <w:b/>
        </w:rPr>
      </w:pPr>
      <w:r w:rsidRPr="00D2239D">
        <w:rPr>
          <w:rFonts w:ascii="Arial Unicode MS" w:eastAsia="Arial Unicode MS" w:hAnsi="Arial Unicode MS" w:cs="Arial Unicode MS"/>
          <w:b/>
        </w:rPr>
        <w:t>§ 2</w:t>
      </w:r>
    </w:p>
    <w:p w:rsidR="0029739E" w:rsidRPr="00D2239D" w:rsidRDefault="00AC5F58" w:rsidP="00BC3D60">
      <w:pPr>
        <w:pStyle w:val="Akapitzlist"/>
        <w:spacing w:line="240" w:lineRule="auto"/>
        <w:ind w:left="0"/>
        <w:jc w:val="both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Uchwała wchodzi w życie z dniem podjęcia.</w:t>
      </w:r>
    </w:p>
    <w:p w:rsidR="0029739E" w:rsidRPr="00D2239D" w:rsidRDefault="0029739E" w:rsidP="00BC3D60">
      <w:pPr>
        <w:pStyle w:val="Standard"/>
        <w:spacing w:line="240" w:lineRule="auto"/>
        <w:rPr>
          <w:rFonts w:ascii="Arial Unicode MS" w:eastAsia="Arial Unicode MS" w:hAnsi="Arial Unicode MS" w:cs="Arial Unicode MS"/>
        </w:rPr>
      </w:pPr>
    </w:p>
    <w:p w:rsidR="0029739E" w:rsidRPr="00D2239D" w:rsidRDefault="00AC5F58" w:rsidP="00BC3D60">
      <w:pPr>
        <w:pStyle w:val="Standard"/>
        <w:spacing w:after="0" w:line="240" w:lineRule="auto"/>
        <w:rPr>
          <w:rFonts w:ascii="Arial Unicode MS" w:eastAsia="Arial Unicode MS" w:hAnsi="Arial Unicode MS" w:cs="Arial Unicode MS"/>
        </w:rPr>
      </w:pPr>
      <w:r w:rsidRPr="00D2239D">
        <w:rPr>
          <w:rFonts w:ascii="Arial Unicode MS" w:eastAsia="Arial Unicode MS" w:hAnsi="Arial Unicode MS" w:cs="Arial Unicode MS"/>
        </w:rPr>
        <w:t xml:space="preserve">         Przewodniczący </w:t>
      </w:r>
      <w:r w:rsidRPr="00D2239D">
        <w:rPr>
          <w:rFonts w:ascii="Arial Unicode MS" w:eastAsia="Arial Unicode MS" w:hAnsi="Arial Unicode MS" w:cs="Arial Unicode MS"/>
        </w:rPr>
        <w:tab/>
      </w:r>
      <w:r w:rsidRPr="00D2239D">
        <w:rPr>
          <w:rFonts w:ascii="Arial Unicode MS" w:eastAsia="Arial Unicode MS" w:hAnsi="Arial Unicode MS" w:cs="Arial Unicode MS"/>
        </w:rPr>
        <w:tab/>
      </w:r>
      <w:r w:rsidRPr="00D2239D">
        <w:rPr>
          <w:rFonts w:ascii="Arial Unicode MS" w:eastAsia="Arial Unicode MS" w:hAnsi="Arial Unicode MS" w:cs="Arial Unicode MS"/>
        </w:rPr>
        <w:tab/>
      </w:r>
      <w:r w:rsidRPr="00D2239D">
        <w:rPr>
          <w:rFonts w:ascii="Arial Unicode MS" w:eastAsia="Arial Unicode MS" w:hAnsi="Arial Unicode MS" w:cs="Arial Unicode MS"/>
        </w:rPr>
        <w:tab/>
      </w:r>
      <w:r w:rsidRPr="00D2239D">
        <w:rPr>
          <w:rFonts w:ascii="Arial Unicode MS" w:eastAsia="Arial Unicode MS" w:hAnsi="Arial Unicode MS" w:cs="Arial Unicode MS"/>
        </w:rPr>
        <w:tab/>
      </w:r>
      <w:r w:rsidRPr="00D2239D">
        <w:rPr>
          <w:rFonts w:ascii="Arial Unicode MS" w:eastAsia="Arial Unicode MS" w:hAnsi="Arial Unicode MS" w:cs="Arial Unicode MS"/>
        </w:rPr>
        <w:tab/>
      </w:r>
      <w:r w:rsidRPr="00D2239D">
        <w:rPr>
          <w:rFonts w:ascii="Arial Unicode MS" w:eastAsia="Arial Unicode MS" w:hAnsi="Arial Unicode MS" w:cs="Arial Unicode MS"/>
        </w:rPr>
        <w:tab/>
        <w:t>Sekretarz</w:t>
      </w:r>
    </w:p>
    <w:p w:rsidR="0029739E" w:rsidRPr="00D2239D" w:rsidRDefault="0029739E" w:rsidP="00BC3D60">
      <w:pPr>
        <w:pStyle w:val="Standard"/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29739E" w:rsidRPr="00D2239D" w:rsidRDefault="0029739E" w:rsidP="00BC3D60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sectPr w:rsidR="0029739E" w:rsidRPr="00D2239D">
      <w:pgSz w:w="11906" w:h="16838"/>
      <w:pgMar w:top="1417" w:right="113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6E" w:rsidRDefault="00A1356E">
      <w:pPr>
        <w:spacing w:after="0" w:line="240" w:lineRule="auto"/>
      </w:pPr>
      <w:r>
        <w:separator/>
      </w:r>
    </w:p>
  </w:endnote>
  <w:endnote w:type="continuationSeparator" w:id="0">
    <w:p w:rsidR="00A1356E" w:rsidRDefault="00A1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6E" w:rsidRDefault="00A135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356E" w:rsidRDefault="00A1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CDE"/>
    <w:multiLevelType w:val="multilevel"/>
    <w:tmpl w:val="5CC0AD86"/>
    <w:styleLink w:val="WWNum3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1957794"/>
    <w:multiLevelType w:val="multilevel"/>
    <w:tmpl w:val="5F5600E2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DD55908"/>
    <w:multiLevelType w:val="multilevel"/>
    <w:tmpl w:val="9426DC1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8941F3B"/>
    <w:multiLevelType w:val="multilevel"/>
    <w:tmpl w:val="A2200F1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39E"/>
    <w:rsid w:val="000B0294"/>
    <w:rsid w:val="00160D93"/>
    <w:rsid w:val="0029739E"/>
    <w:rsid w:val="005845B2"/>
    <w:rsid w:val="007A485A"/>
    <w:rsid w:val="00877256"/>
    <w:rsid w:val="00A1356E"/>
    <w:rsid w:val="00A248CB"/>
    <w:rsid w:val="00AC5F58"/>
    <w:rsid w:val="00BC3D60"/>
    <w:rsid w:val="00D2239D"/>
    <w:rsid w:val="00D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4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5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4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Pojezierze</dc:creator>
  <cp:lastModifiedBy>Mama</cp:lastModifiedBy>
  <cp:revision>4</cp:revision>
  <cp:lastPrinted>2013-06-03T13:43:00Z</cp:lastPrinted>
  <dcterms:created xsi:type="dcterms:W3CDTF">2015-11-24T09:43:00Z</dcterms:created>
  <dcterms:modified xsi:type="dcterms:W3CDTF">2015-11-25T07:28:00Z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